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6C" w:rsidRPr="009A243B" w:rsidRDefault="004D0E6C" w:rsidP="001C02F3">
      <w:pPr>
        <w:tabs>
          <w:tab w:val="left" w:pos="6120"/>
          <w:tab w:val="left" w:pos="8370"/>
        </w:tabs>
        <w:ind w:left="567"/>
        <w:jc w:val="center"/>
        <w:rPr>
          <w:rFonts w:ascii="Bookman Old Style" w:hAnsi="Bookman Old Style" w:cs="Bookman Old Sty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4" o:spid="_x0000_s1026" type="#_x0000_t75" style="position:absolute;left:0;text-align:left;margin-left:194.05pt;margin-top:34.6pt;width:87.2pt;height:23.4pt;z-index:251658240;visibility:visible">
            <v:imagedata r:id="rId4" o:title=""/>
          </v:shape>
        </w:pict>
      </w:r>
      <w:r w:rsidRPr="00223B13">
        <w:rPr>
          <w:rFonts w:ascii="Bookman Old Style" w:hAnsi="Bookman Old Style" w:cs="Bookman Old Style"/>
        </w:rPr>
        <w:t xml:space="preserve">                                           </w:t>
      </w:r>
      <w:r>
        <w:rPr>
          <w:rFonts w:ascii="Bookman Old Style" w:hAnsi="Bookman Old Style" w:cs="Bookman Old Style"/>
        </w:rPr>
        <w:t xml:space="preserve">     </w:t>
      </w:r>
      <w:r>
        <w:rPr>
          <w:rFonts w:ascii="Bookman Old Style" w:hAnsi="Bookman Old Style" w:cs="Bookman Old Style"/>
          <w:b/>
          <w:bCs/>
        </w:rPr>
        <w:t xml:space="preserve">                                                           </w:t>
      </w:r>
      <w:r w:rsidRPr="009A243B">
        <w:rPr>
          <w:rFonts w:ascii="Bookman Old Style" w:hAnsi="Bookman Old Style" w:cs="Bookman Old Style"/>
        </w:rPr>
        <w:t xml:space="preserve">    </w:t>
      </w:r>
    </w:p>
    <w:p w:rsidR="004D0E6C" w:rsidRDefault="004D0E6C" w:rsidP="003A713F">
      <w:pPr>
        <w:ind w:left="567"/>
        <w:jc w:val="right"/>
        <w:rPr>
          <w:b/>
          <w:bCs/>
        </w:rPr>
      </w:pPr>
      <w:r>
        <w:rPr>
          <w:noProof/>
        </w:rPr>
        <w:pict>
          <v:shape id="Picture 793" o:spid="_x0000_s1027" type="#_x0000_t75" style="position:absolute;left:0;text-align:left;margin-left:206.75pt;margin-top:-43.65pt;width:62.35pt;height:47.7pt;z-index:251657216;visibility:visible">
            <v:imagedata r:id="rId5" o:title=""/>
            <w10:wrap type="topAndBottom"/>
          </v:shape>
        </w:pict>
      </w:r>
    </w:p>
    <w:p w:rsidR="004D0E6C" w:rsidRPr="00401854" w:rsidRDefault="004D0E6C" w:rsidP="001C02F3">
      <w:pPr>
        <w:pStyle w:val="NoSpacing"/>
        <w:jc w:val="center"/>
        <w:rPr>
          <w:rFonts w:ascii="Cambria" w:hAnsi="Cambria" w:cs="Cambria"/>
          <w:sz w:val="32"/>
          <w:szCs w:val="32"/>
        </w:rPr>
      </w:pPr>
      <w:r w:rsidRPr="00401854">
        <w:t>BHARAT SANCHAR NIGAM LIMITED</w:t>
      </w:r>
    </w:p>
    <w:p w:rsidR="004D0E6C" w:rsidRDefault="004D0E6C" w:rsidP="001C02F3">
      <w:pPr>
        <w:pStyle w:val="NoSpacing"/>
        <w:jc w:val="center"/>
      </w:pPr>
      <w:r>
        <w:t>( A Government of India Enterprise  )</w:t>
      </w:r>
    </w:p>
    <w:p w:rsidR="004D0E6C" w:rsidRDefault="004D0E6C" w:rsidP="001C02F3">
      <w:pPr>
        <w:ind w:left="567"/>
        <w:jc w:val="center"/>
        <w:rPr>
          <w:rFonts w:ascii="Bookman Old Style" w:hAnsi="Bookman Old Style" w:cs="Bookman Old Style"/>
        </w:rPr>
      </w:pPr>
      <w:r>
        <w:rPr>
          <w:rFonts w:ascii="Bookman Old Style" w:hAnsi="Bookman Old Style" w:cs="Bookman Old Style"/>
        </w:rPr>
        <w:t xml:space="preserve">                                                                                      </w:t>
      </w:r>
    </w:p>
    <w:p w:rsidR="004D0E6C" w:rsidRDefault="004D0E6C" w:rsidP="001C02F3">
      <w:pPr>
        <w:rPr>
          <w:rFonts w:ascii="Bookman Old Style" w:hAnsi="Bookman Old Style" w:cs="Bookman Old Style"/>
        </w:rPr>
      </w:pPr>
      <w:r>
        <w:rPr>
          <w:rFonts w:ascii="Bookman Old Style" w:hAnsi="Bookman Old Style" w:cs="Bookman Old Style"/>
        </w:rPr>
        <w:t>From</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t>To</w:t>
      </w:r>
    </w:p>
    <w:p w:rsidR="004D0E6C" w:rsidRDefault="004D0E6C" w:rsidP="003A713F">
      <w:pPr>
        <w:spacing w:after="0"/>
        <w:rPr>
          <w:rFonts w:ascii="Bookman Old Style" w:hAnsi="Bookman Old Style" w:cs="Bookman Old Style"/>
        </w:rPr>
      </w:pPr>
      <w:r>
        <w:rPr>
          <w:rFonts w:ascii="Bookman Old Style" w:hAnsi="Bookman Old Style" w:cs="Bookman Old Style"/>
        </w:rPr>
        <w:t>The Chief General Manager</w:t>
      </w:r>
      <w:r>
        <w:rPr>
          <w:rFonts w:ascii="Bookman Old Style" w:hAnsi="Bookman Old Style" w:cs="Bookman Old Style"/>
        </w:rPr>
        <w:tab/>
        <w:t xml:space="preserve">          CGM STR /STP   </w:t>
      </w:r>
    </w:p>
    <w:p w:rsidR="004D0E6C" w:rsidRDefault="004D0E6C" w:rsidP="003A713F">
      <w:pPr>
        <w:spacing w:after="0"/>
        <w:rPr>
          <w:rFonts w:ascii="Bookman Old Style" w:hAnsi="Bookman Old Style" w:cs="Bookman Old Style"/>
        </w:rPr>
      </w:pPr>
      <w:r>
        <w:rPr>
          <w:rFonts w:ascii="Bookman Old Style" w:hAnsi="Bookman Old Style" w:cs="Bookman Old Style"/>
        </w:rPr>
        <w:t>Bharat Sanchar Nigam Limited</w:t>
      </w:r>
      <w:r>
        <w:rPr>
          <w:rFonts w:ascii="Bookman Old Style" w:hAnsi="Bookman Old Style" w:cs="Bookman Old Style"/>
        </w:rPr>
        <w:tab/>
        <w:t xml:space="preserve">          ALL HEADS OF SSAs </w:t>
      </w:r>
    </w:p>
    <w:p w:rsidR="004D0E6C" w:rsidRDefault="004D0E6C" w:rsidP="003A713F">
      <w:pPr>
        <w:spacing w:after="0"/>
        <w:rPr>
          <w:rFonts w:ascii="Bookman Old Style" w:hAnsi="Bookman Old Style" w:cs="Bookman Old Style"/>
        </w:rPr>
      </w:pPr>
      <w:r>
        <w:rPr>
          <w:rFonts w:ascii="Bookman Old Style" w:hAnsi="Bookman Old Style" w:cs="Bookman Old Style"/>
        </w:rPr>
        <w:t>Tamilnadu Circle</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t xml:space="preserve">          GM NW-OPS-CFA</w:t>
      </w:r>
    </w:p>
    <w:p w:rsidR="004D0E6C" w:rsidRDefault="004D0E6C" w:rsidP="003A713F">
      <w:pPr>
        <w:spacing w:after="0"/>
        <w:rPr>
          <w:rFonts w:ascii="Bookman Old Style" w:hAnsi="Bookman Old Style" w:cs="Bookman Old Style"/>
        </w:rPr>
      </w:pPr>
      <w:r>
        <w:rPr>
          <w:rFonts w:ascii="Bookman Old Style" w:hAnsi="Bookman Old Style" w:cs="Bookman Old Style"/>
        </w:rPr>
        <w:t>Chennai – 600 002.</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t xml:space="preserve">          GM( S&amp;M)-CFA</w:t>
      </w:r>
    </w:p>
    <w:p w:rsidR="004D0E6C" w:rsidRDefault="004D0E6C" w:rsidP="003A713F">
      <w:pPr>
        <w:spacing w:after="0"/>
        <w:rPr>
          <w:rFonts w:ascii="Bookman Old Style" w:hAnsi="Bookman Old Style" w:cs="Bookman Old Style"/>
        </w:rPr>
      </w:pPr>
      <w:r>
        <w:rPr>
          <w:rFonts w:ascii="Bookman Old Style" w:hAnsi="Bookman Old Style" w:cs="Bookman Old Style"/>
        </w:rPr>
        <w:t xml:space="preserve">                                                             GM(EB)/GM(NC)  </w:t>
      </w:r>
    </w:p>
    <w:p w:rsidR="004D0E6C" w:rsidRDefault="004D0E6C" w:rsidP="003A713F">
      <w:pPr>
        <w:spacing w:after="0"/>
        <w:rPr>
          <w:rFonts w:ascii="Bookman Old Style" w:hAnsi="Bookman Old Style" w:cs="Bookman Old Style"/>
        </w:rPr>
      </w:pPr>
      <w:r>
        <w:rPr>
          <w:rFonts w:ascii="Bookman Old Style" w:hAnsi="Bookman Old Style" w:cs="Bookman Old Style"/>
        </w:rPr>
        <w:t xml:space="preserve">                                                             GM (NWP)CM /CFA</w:t>
      </w:r>
    </w:p>
    <w:p w:rsidR="004D0E6C" w:rsidRDefault="004D0E6C" w:rsidP="003A713F">
      <w:pPr>
        <w:spacing w:after="0"/>
        <w:rPr>
          <w:rFonts w:ascii="Bookman Old Style" w:hAnsi="Bookman Old Style" w:cs="Bookman Old Style"/>
        </w:rPr>
      </w:pPr>
      <w:r>
        <w:rPr>
          <w:rFonts w:ascii="Bookman Old Style" w:hAnsi="Bookman Old Style" w:cs="Bookman Old Style"/>
        </w:rPr>
        <w:t xml:space="preserve">                                                             GM(NWO-CM) TR/CBT</w:t>
      </w:r>
    </w:p>
    <w:p w:rsidR="004D0E6C" w:rsidRDefault="004D0E6C" w:rsidP="003A713F">
      <w:pPr>
        <w:spacing w:after="0"/>
        <w:rPr>
          <w:rFonts w:ascii="Bookman Old Style" w:hAnsi="Bookman Old Style" w:cs="Bookman Old Style"/>
        </w:rPr>
      </w:pPr>
      <w:r>
        <w:rPr>
          <w:rFonts w:ascii="Bookman Old Style" w:hAnsi="Bookman Old Style" w:cs="Bookman Old Style"/>
        </w:rPr>
        <w:t xml:space="preserve">                                                             DGM(NWO)CFA</w:t>
      </w:r>
    </w:p>
    <w:p w:rsidR="004D0E6C" w:rsidRDefault="004D0E6C" w:rsidP="003A713F">
      <w:pPr>
        <w:spacing w:after="0"/>
        <w:rPr>
          <w:rFonts w:ascii="Bookman Old Style" w:hAnsi="Bookman Old Style" w:cs="Bookman Old Style"/>
        </w:rPr>
      </w:pPr>
      <w:r>
        <w:rPr>
          <w:rFonts w:ascii="Bookman Old Style" w:hAnsi="Bookman Old Style" w:cs="Bookman Old Style"/>
        </w:rPr>
        <w:t xml:space="preserve">                                                             Principal RGMTTC/REM Chennai.    </w:t>
      </w:r>
    </w:p>
    <w:p w:rsidR="004D0E6C" w:rsidRPr="00B854C6" w:rsidRDefault="004D0E6C" w:rsidP="001C02F3">
      <w:pPr>
        <w:rPr>
          <w:rFonts w:ascii="Bookman Old Style" w:hAnsi="Bookman Old Style" w:cs="Bookman Old Style"/>
          <w:sz w:val="24"/>
          <w:szCs w:val="24"/>
          <w:u w:val="single"/>
        </w:rPr>
      </w:pPr>
      <w:r w:rsidRPr="00B854C6">
        <w:rPr>
          <w:rFonts w:ascii="Bookman Old Style" w:hAnsi="Bookman Old Style" w:cs="Bookman Old Style"/>
          <w:sz w:val="24"/>
          <w:szCs w:val="24"/>
        </w:rPr>
        <w:t xml:space="preserve"> </w:t>
      </w:r>
      <w:r>
        <w:rPr>
          <w:rFonts w:ascii="Bookman Old Style" w:hAnsi="Bookman Old Style" w:cs="Bookman Old Style"/>
          <w:sz w:val="24"/>
          <w:szCs w:val="24"/>
          <w:u w:val="single"/>
        </w:rPr>
        <w:t>NO.DPC/</w:t>
      </w:r>
      <w:r w:rsidRPr="00B854C6">
        <w:rPr>
          <w:rFonts w:ascii="Bookman Old Style" w:hAnsi="Bookman Old Style" w:cs="Bookman Old Style"/>
          <w:sz w:val="24"/>
          <w:szCs w:val="24"/>
          <w:u w:val="single"/>
        </w:rPr>
        <w:t xml:space="preserve">/12-17/2012-13/      dated at Chennai – 2        the     </w:t>
      </w:r>
      <w:r>
        <w:rPr>
          <w:rFonts w:ascii="Bookman Old Style" w:hAnsi="Bookman Old Style" w:cs="Bookman Old Style"/>
          <w:sz w:val="24"/>
          <w:szCs w:val="24"/>
          <w:u w:val="single"/>
        </w:rPr>
        <w:t>17</w:t>
      </w:r>
      <w:r w:rsidRPr="00B854C6">
        <w:rPr>
          <w:rFonts w:ascii="Bookman Old Style" w:hAnsi="Bookman Old Style" w:cs="Bookman Old Style"/>
          <w:sz w:val="24"/>
          <w:szCs w:val="24"/>
          <w:u w:val="single"/>
        </w:rPr>
        <w:t xml:space="preserve">/10/2012 </w:t>
      </w:r>
    </w:p>
    <w:p w:rsidR="004D0E6C" w:rsidRPr="00B854C6" w:rsidRDefault="004D0E6C" w:rsidP="003A713F">
      <w:pPr>
        <w:spacing w:after="0"/>
        <w:rPr>
          <w:rFonts w:ascii="Bookman Old Style" w:hAnsi="Bookman Old Style" w:cs="Bookman Old Style"/>
          <w:sz w:val="24"/>
          <w:szCs w:val="24"/>
        </w:rPr>
      </w:pPr>
      <w:r w:rsidRPr="00B854C6">
        <w:rPr>
          <w:rFonts w:ascii="Bookman Old Style" w:hAnsi="Bookman Old Style" w:cs="Bookman Old Style"/>
          <w:b/>
          <w:bCs/>
          <w:sz w:val="24"/>
          <w:szCs w:val="24"/>
        </w:rPr>
        <w:t xml:space="preserve">     </w:t>
      </w:r>
      <w:r w:rsidRPr="00B854C6">
        <w:rPr>
          <w:rFonts w:ascii="Bookman Old Style" w:hAnsi="Bookman Old Style" w:cs="Bookman Old Style"/>
          <w:sz w:val="24"/>
          <w:szCs w:val="24"/>
        </w:rPr>
        <w:t xml:space="preserve">          </w:t>
      </w:r>
      <w:r>
        <w:rPr>
          <w:rFonts w:ascii="Bookman Old Style" w:hAnsi="Bookman Old Style" w:cs="Bookman Old Style"/>
          <w:sz w:val="24"/>
          <w:szCs w:val="24"/>
        </w:rPr>
        <w:t xml:space="preserve"> </w:t>
      </w:r>
      <w:r w:rsidRPr="00B854C6">
        <w:rPr>
          <w:rFonts w:ascii="Bookman Old Style" w:hAnsi="Bookman Old Style" w:cs="Bookman Old Style"/>
          <w:sz w:val="24"/>
          <w:szCs w:val="24"/>
        </w:rPr>
        <w:t>Sub</w:t>
      </w:r>
      <w:r w:rsidRPr="00B854C6">
        <w:rPr>
          <w:rFonts w:ascii="Bookman Old Style" w:hAnsi="Bookman Old Style" w:cs="Bookman Old Style"/>
          <w:b/>
          <w:bCs/>
          <w:sz w:val="24"/>
          <w:szCs w:val="24"/>
        </w:rPr>
        <w:t xml:space="preserve">: </w:t>
      </w:r>
      <w:r w:rsidRPr="00B854C6">
        <w:rPr>
          <w:rFonts w:ascii="Bookman Old Style" w:hAnsi="Bookman Old Style" w:cs="Bookman Old Style"/>
          <w:sz w:val="24"/>
          <w:szCs w:val="24"/>
        </w:rPr>
        <w:t>Preparatory exercise for  All India Eligibility List of JTOs(T)-</w:t>
      </w:r>
    </w:p>
    <w:p w:rsidR="004D0E6C" w:rsidRPr="00B854C6" w:rsidRDefault="004D0E6C" w:rsidP="003A713F">
      <w:pPr>
        <w:spacing w:after="0"/>
        <w:rPr>
          <w:rFonts w:ascii="Bookman Old Style" w:hAnsi="Bookman Old Style" w:cs="Bookman Old Style"/>
          <w:sz w:val="24"/>
          <w:szCs w:val="24"/>
        </w:rPr>
      </w:pPr>
      <w:r w:rsidRPr="00B854C6">
        <w:rPr>
          <w:rFonts w:ascii="Bookman Old Style" w:hAnsi="Bookman Old Style" w:cs="Bookman Old Style"/>
          <w:sz w:val="24"/>
          <w:szCs w:val="24"/>
        </w:rPr>
        <w:t xml:space="preserve">                        preparation of assessment sheet-reg.    </w:t>
      </w:r>
    </w:p>
    <w:p w:rsidR="004D0E6C" w:rsidRPr="00B854C6" w:rsidRDefault="004D0E6C" w:rsidP="001C02F3">
      <w:pPr>
        <w:rPr>
          <w:rFonts w:ascii="Bookman Old Style" w:hAnsi="Bookman Old Style" w:cs="Bookman Old Style"/>
          <w:b/>
          <w:bCs/>
          <w:sz w:val="24"/>
          <w:szCs w:val="24"/>
          <w:lang w:val="en-IN"/>
        </w:rPr>
      </w:pPr>
      <w:r w:rsidRPr="00B854C6">
        <w:rPr>
          <w:rFonts w:ascii="Bookman Old Style" w:hAnsi="Bookman Old Style" w:cs="Bookman Old Style"/>
          <w:sz w:val="24"/>
          <w:szCs w:val="24"/>
        </w:rPr>
        <w:t xml:space="preserve">                          </w:t>
      </w:r>
      <w:r w:rsidRPr="00B854C6">
        <w:rPr>
          <w:rFonts w:ascii="Bookman Old Style" w:hAnsi="Bookman Old Style" w:cs="Bookman Old Style"/>
          <w:b/>
          <w:bCs/>
          <w:sz w:val="24"/>
          <w:szCs w:val="24"/>
        </w:rPr>
        <w:t xml:space="preserve">                         ****</w:t>
      </w:r>
    </w:p>
    <w:p w:rsidR="004D0E6C" w:rsidRDefault="004D0E6C" w:rsidP="001C02F3">
      <w:pPr>
        <w:rPr>
          <w:rFonts w:ascii="Cambria" w:hAnsi="Cambria" w:cs="Cambria"/>
          <w:sz w:val="24"/>
          <w:szCs w:val="24"/>
        </w:rPr>
      </w:pPr>
      <w:r w:rsidRPr="00B854C6">
        <w:rPr>
          <w:rFonts w:ascii="Bookman Old Style" w:hAnsi="Bookman Old Style" w:cs="Bookman Old Style"/>
          <w:sz w:val="24"/>
          <w:szCs w:val="24"/>
        </w:rPr>
        <w:t xml:space="preserve">                 </w:t>
      </w:r>
      <w:r w:rsidRPr="008F0253">
        <w:rPr>
          <w:rFonts w:ascii="Cambria" w:hAnsi="Cambria" w:cs="Cambria"/>
          <w:sz w:val="24"/>
          <w:szCs w:val="24"/>
        </w:rPr>
        <w:t xml:space="preserve">Kindly refer to this office letter of even number dated 27-9-2012 wherein </w:t>
      </w:r>
      <w:r>
        <w:rPr>
          <w:rFonts w:ascii="Cambria" w:hAnsi="Cambria" w:cs="Cambria"/>
          <w:sz w:val="24"/>
          <w:szCs w:val="24"/>
        </w:rPr>
        <w:t>it was instructed to</w:t>
      </w:r>
      <w:r w:rsidRPr="008F0253">
        <w:rPr>
          <w:rFonts w:ascii="Cambria" w:hAnsi="Cambria" w:cs="Cambria"/>
          <w:sz w:val="24"/>
          <w:szCs w:val="24"/>
        </w:rPr>
        <w:t xml:space="preserve"> forward the ACRs for  seven years  for the period from 2003-04 to 2009-10,screening committee report and Vigilance clearance in respect of eligible JTOs pertaining to your SSAs / Units   to this office </w:t>
      </w:r>
      <w:r w:rsidRPr="008F0253">
        <w:rPr>
          <w:rFonts w:ascii="Cambria" w:hAnsi="Cambria" w:cs="Cambria"/>
          <w:sz w:val="24"/>
          <w:szCs w:val="24"/>
          <w:u w:val="single"/>
        </w:rPr>
        <w:t>on  or before 15-10-2012</w:t>
      </w:r>
      <w:r w:rsidRPr="008F0253">
        <w:rPr>
          <w:rFonts w:ascii="Cambria" w:hAnsi="Cambria" w:cs="Cambria"/>
          <w:sz w:val="24"/>
          <w:szCs w:val="24"/>
        </w:rPr>
        <w:t xml:space="preserve">  for onward transmission to  BSNL ND Head Quarters for considering JTO to SDE regular promotion. </w:t>
      </w:r>
      <w:r>
        <w:rPr>
          <w:rFonts w:ascii="Cambria" w:hAnsi="Cambria" w:cs="Cambria"/>
          <w:sz w:val="24"/>
          <w:szCs w:val="24"/>
        </w:rPr>
        <w:t>Compilance</w:t>
      </w:r>
      <w:r w:rsidRPr="008F0253">
        <w:rPr>
          <w:rFonts w:ascii="Cambria" w:hAnsi="Cambria" w:cs="Cambria"/>
          <w:sz w:val="24"/>
          <w:szCs w:val="24"/>
        </w:rPr>
        <w:t xml:space="preserve"> have not been received so far. </w:t>
      </w:r>
      <w:r>
        <w:rPr>
          <w:rFonts w:ascii="Cambria" w:hAnsi="Cambria" w:cs="Cambria"/>
          <w:sz w:val="24"/>
          <w:szCs w:val="24"/>
        </w:rPr>
        <w:t>Necessary action may be taken immediately.</w:t>
      </w:r>
      <w:r w:rsidRPr="008F0253">
        <w:rPr>
          <w:rFonts w:ascii="Cambria" w:hAnsi="Cambria" w:cs="Cambria"/>
          <w:sz w:val="24"/>
          <w:szCs w:val="24"/>
        </w:rPr>
        <w:t xml:space="preserve"> </w:t>
      </w:r>
    </w:p>
    <w:p w:rsidR="004D0E6C" w:rsidRPr="008F0253" w:rsidRDefault="004D0E6C" w:rsidP="001C02F3">
      <w:pPr>
        <w:rPr>
          <w:rFonts w:ascii="Cambria" w:hAnsi="Cambria" w:cs="Cambria"/>
          <w:b/>
          <w:bCs/>
          <w:sz w:val="24"/>
          <w:szCs w:val="24"/>
        </w:rPr>
      </w:pPr>
      <w:r w:rsidRPr="008F0253">
        <w:rPr>
          <w:rFonts w:ascii="Cambria" w:hAnsi="Cambria" w:cs="Cambria"/>
          <w:b/>
          <w:bCs/>
          <w:sz w:val="24"/>
          <w:szCs w:val="24"/>
        </w:rPr>
        <w:t xml:space="preserve">                </w:t>
      </w:r>
      <w:r w:rsidRPr="008F0253">
        <w:rPr>
          <w:rFonts w:ascii="Cambria" w:hAnsi="Cambria" w:cs="Cambria"/>
          <w:b/>
          <w:bCs/>
        </w:rPr>
        <w:t xml:space="preserve"> </w:t>
      </w:r>
      <w:r w:rsidRPr="008F0253">
        <w:rPr>
          <w:rFonts w:ascii="Cambria" w:hAnsi="Cambria" w:cs="Cambria"/>
          <w:b/>
          <w:bCs/>
          <w:sz w:val="24"/>
          <w:szCs w:val="24"/>
        </w:rPr>
        <w:t xml:space="preserve">The eligibility list of JTOs in respect of Tamilnadu Circle in Annexure-I,II &amp; III are available at Tamilnadu Circle Intranet which can be had for kind reference.  All OC/SC eligible JTOs (as per SDE(T) RR) up to recruitment  2001 and  all eligible ST JTOs up to recruitment 2005 come in the said eligibility list.  (A remark had been made against the names of those JTOs appearing in the eligibility list who have been declared successful in the LDCE held on 04-03-2012).                  </w:t>
      </w:r>
    </w:p>
    <w:p w:rsidR="004D0E6C" w:rsidRPr="008F0253" w:rsidRDefault="004D0E6C" w:rsidP="001C02F3">
      <w:pPr>
        <w:pStyle w:val="Title"/>
        <w:jc w:val="both"/>
        <w:rPr>
          <w:rFonts w:ascii="Cambria" w:hAnsi="Cambria" w:cs="Cambria"/>
        </w:rPr>
      </w:pPr>
      <w:r w:rsidRPr="008F0253">
        <w:rPr>
          <w:rFonts w:ascii="Cambria" w:hAnsi="Cambria" w:cs="Cambria"/>
          <w:b w:val="0"/>
          <w:bCs w:val="0"/>
          <w:color w:val="auto"/>
        </w:rPr>
        <w:t xml:space="preserve">                </w:t>
      </w:r>
      <w:r w:rsidRPr="008F0253">
        <w:rPr>
          <w:rFonts w:ascii="Cambria" w:hAnsi="Cambria" w:cs="Cambria"/>
        </w:rPr>
        <w:t xml:space="preserve"> </w:t>
      </w:r>
      <w:r w:rsidRPr="008F0253">
        <w:rPr>
          <w:rFonts w:ascii="Cambria" w:hAnsi="Cambria" w:cs="Cambria"/>
          <w:color w:val="auto"/>
          <w:u w:val="single"/>
        </w:rPr>
        <w:t>Assessment sheet must be furnished in the prescribed format</w:t>
      </w:r>
      <w:r>
        <w:rPr>
          <w:rFonts w:ascii="Cambria" w:hAnsi="Cambria" w:cs="Cambria"/>
          <w:color w:val="auto"/>
          <w:u w:val="single"/>
        </w:rPr>
        <w:t xml:space="preserve"> already circulated</w:t>
      </w:r>
      <w:r w:rsidRPr="008F0253">
        <w:rPr>
          <w:rFonts w:ascii="Cambria" w:hAnsi="Cambria" w:cs="Cambria"/>
          <w:color w:val="auto"/>
        </w:rPr>
        <w:t>.</w:t>
      </w:r>
      <w:r w:rsidRPr="008F0253">
        <w:rPr>
          <w:rFonts w:ascii="Cambria" w:hAnsi="Cambria" w:cs="Cambria"/>
        </w:rPr>
        <w:t xml:space="preserve">  </w:t>
      </w:r>
      <w:r w:rsidRPr="008F0253">
        <w:rPr>
          <w:rFonts w:ascii="Cambria" w:hAnsi="Cambria" w:cs="Cambria"/>
          <w:b w:val="0"/>
          <w:bCs w:val="0"/>
          <w:color w:val="auto"/>
        </w:rPr>
        <w:t>Soft copy of the Screening Committee Report along with vigilance clearance should be sent to following e-mail address  “</w:t>
      </w:r>
      <w:hyperlink r:id="rId6" w:history="1">
        <w:r w:rsidRPr="008F0253">
          <w:rPr>
            <w:rStyle w:val="Hyperlink"/>
            <w:rFonts w:ascii="Cambria" w:hAnsi="Cambria" w:cs="Cambria"/>
            <w:b w:val="0"/>
            <w:bCs w:val="0"/>
            <w:color w:val="auto"/>
          </w:rPr>
          <w:t>ads1sai@rediffmail.com</w:t>
        </w:r>
      </w:hyperlink>
      <w:r w:rsidRPr="008F0253">
        <w:rPr>
          <w:rFonts w:ascii="Cambria" w:hAnsi="Cambria" w:cs="Cambria"/>
        </w:rPr>
        <w:t>.</w:t>
      </w:r>
    </w:p>
    <w:p w:rsidR="004D0E6C" w:rsidRPr="008F0253" w:rsidRDefault="004D0E6C" w:rsidP="001C02F3">
      <w:pPr>
        <w:pStyle w:val="Title"/>
        <w:jc w:val="both"/>
        <w:rPr>
          <w:rFonts w:ascii="Cambria" w:hAnsi="Cambria" w:cs="Cambria"/>
          <w:b w:val="0"/>
          <w:bCs w:val="0"/>
          <w:color w:val="auto"/>
        </w:rPr>
      </w:pPr>
      <w:r w:rsidRPr="008F0253">
        <w:rPr>
          <w:rFonts w:ascii="Cambria" w:hAnsi="Cambria" w:cs="Cambria"/>
          <w:b w:val="0"/>
          <w:bCs w:val="0"/>
          <w:color w:val="auto"/>
        </w:rPr>
        <w:t xml:space="preserve">                </w:t>
      </w:r>
      <w:r w:rsidRPr="008F0253">
        <w:rPr>
          <w:rFonts w:ascii="Cambria" w:hAnsi="Cambria" w:cs="Cambria"/>
          <w:color w:val="auto"/>
        </w:rPr>
        <w:t>In this connection, it is also instructed that the action on below bench mark cases may be taken as per norms before sending ACRS / APARs and screening committee report. Supporting documents such as APAR shown certificate status of the appeal etc. are to be submitted for below bench mark cases without fail.</w:t>
      </w:r>
      <w:r w:rsidRPr="008F0253">
        <w:rPr>
          <w:rFonts w:ascii="Cambria" w:hAnsi="Cambria" w:cs="Cambria"/>
          <w:b w:val="0"/>
          <w:bCs w:val="0"/>
          <w:color w:val="auto"/>
        </w:rPr>
        <w:t xml:space="preserve"> </w:t>
      </w:r>
    </w:p>
    <w:p w:rsidR="004D0E6C" w:rsidRPr="008F0253" w:rsidRDefault="004D0E6C" w:rsidP="001C02F3">
      <w:pPr>
        <w:pStyle w:val="Title"/>
        <w:jc w:val="both"/>
        <w:rPr>
          <w:rFonts w:ascii="Cambria" w:hAnsi="Cambria" w:cs="Cambria"/>
          <w:b w:val="0"/>
          <w:bCs w:val="0"/>
          <w:color w:val="auto"/>
        </w:rPr>
      </w:pPr>
      <w:r w:rsidRPr="008F0253">
        <w:rPr>
          <w:rFonts w:ascii="Cambria" w:hAnsi="Cambria" w:cs="Cambria"/>
          <w:b w:val="0"/>
          <w:bCs w:val="0"/>
          <w:color w:val="auto"/>
        </w:rPr>
        <w:t xml:space="preserve">               SSA Heads may ensure that Xerox copies were taken for the ACRs/APARs being </w:t>
      </w:r>
      <w:r w:rsidRPr="008F0253">
        <w:rPr>
          <w:rFonts w:ascii="Cambria" w:hAnsi="Cambria" w:cs="Cambria"/>
          <w:b w:val="0"/>
          <w:bCs w:val="0"/>
          <w:color w:val="auto"/>
          <w:sz w:val="22"/>
          <w:szCs w:val="22"/>
        </w:rPr>
        <w:t>forwarded</w:t>
      </w:r>
      <w:r w:rsidRPr="008F0253">
        <w:rPr>
          <w:rFonts w:ascii="Cambria" w:hAnsi="Cambria" w:cs="Cambria"/>
          <w:b w:val="0"/>
          <w:bCs w:val="0"/>
          <w:color w:val="auto"/>
        </w:rPr>
        <w:t xml:space="preserve"> by the concerned authorities.  And also it may be ensured that all the ACRs/ APARs are in full and reviewed properly.         </w:t>
      </w:r>
    </w:p>
    <w:p w:rsidR="004D0E6C" w:rsidRDefault="004D0E6C" w:rsidP="001C02F3">
      <w:pPr>
        <w:rPr>
          <w:rFonts w:ascii="Bookman Old Style" w:hAnsi="Bookman Old Style" w:cs="Bookman Old Style"/>
          <w:sz w:val="24"/>
          <w:szCs w:val="24"/>
        </w:rPr>
      </w:pPr>
    </w:p>
    <w:p w:rsidR="004D0E6C" w:rsidRDefault="004D0E6C" w:rsidP="001C02F3">
      <w:pPr>
        <w:rPr>
          <w:rFonts w:ascii="Bookman Old Style" w:hAnsi="Bookman Old Style" w:cs="Bookman Old Style"/>
          <w:sz w:val="24"/>
          <w:szCs w:val="24"/>
        </w:rPr>
      </w:pPr>
      <w:r w:rsidRPr="00B854C6">
        <w:rPr>
          <w:rFonts w:ascii="Bookman Old Style" w:hAnsi="Bookman Old Style" w:cs="Bookman Old Style"/>
          <w:sz w:val="24"/>
          <w:szCs w:val="24"/>
        </w:rPr>
        <w:t>Encl:  As above.</w:t>
      </w:r>
    </w:p>
    <w:p w:rsidR="004D0E6C" w:rsidRPr="00B854C6" w:rsidRDefault="004D0E6C" w:rsidP="003A713F">
      <w:pPr>
        <w:jc w:val="center"/>
        <w:rPr>
          <w:rFonts w:ascii="Bookman Old Style" w:hAnsi="Bookman Old Style" w:cs="Bookman Old Style"/>
          <w:sz w:val="24"/>
          <w:szCs w:val="24"/>
        </w:rPr>
      </w:pPr>
      <w:r>
        <w:rPr>
          <w:rFonts w:ascii="Bookman Old Style" w:hAnsi="Bookman Old Style" w:cs="Bookman Old Style"/>
          <w:sz w:val="24"/>
          <w:szCs w:val="24"/>
        </w:rPr>
        <w:t xml:space="preserve">                                                Sd/-</w:t>
      </w:r>
    </w:p>
    <w:p w:rsidR="004D0E6C" w:rsidRPr="00B854C6" w:rsidRDefault="004D0E6C" w:rsidP="001C02F3">
      <w:pPr>
        <w:pStyle w:val="NoSpacing"/>
        <w:ind w:left="4320" w:firstLine="255"/>
        <w:rPr>
          <w:rFonts w:ascii="Bookman Old Style" w:hAnsi="Bookman Old Style" w:cs="Bookman Old Style"/>
          <w:sz w:val="24"/>
          <w:szCs w:val="24"/>
        </w:rPr>
      </w:pPr>
      <w:r>
        <w:rPr>
          <w:rFonts w:ascii="Bookman Old Style" w:hAnsi="Bookman Old Style" w:cs="Bookman Old Style"/>
          <w:sz w:val="24"/>
          <w:szCs w:val="24"/>
        </w:rPr>
        <w:t xml:space="preserve">        </w:t>
      </w:r>
      <w:r w:rsidRPr="00B854C6">
        <w:rPr>
          <w:rFonts w:ascii="Bookman Old Style" w:hAnsi="Bookman Old Style" w:cs="Bookman Old Style"/>
          <w:sz w:val="24"/>
          <w:szCs w:val="24"/>
        </w:rPr>
        <w:t>Asst. General Manager (Staff)</w:t>
      </w:r>
    </w:p>
    <w:p w:rsidR="004D0E6C" w:rsidRDefault="004D0E6C" w:rsidP="003A713F">
      <w:pPr>
        <w:pStyle w:val="NoSpacing"/>
        <w:rPr>
          <w:rFonts w:ascii="Bookman Old Style" w:hAnsi="Bookman Old Style" w:cs="Bookman Old Style"/>
        </w:rPr>
      </w:pPr>
      <w:r w:rsidRPr="00B854C6">
        <w:rPr>
          <w:rFonts w:ascii="Bookman Old Style" w:hAnsi="Bookman Old Style" w:cs="Bookman Old Style"/>
          <w:sz w:val="24"/>
          <w:szCs w:val="24"/>
        </w:rPr>
        <w:t xml:space="preserve">                                            O/o CGM, BSNL, TN Circle, Chennai – 600 002.</w:t>
      </w:r>
    </w:p>
    <w:p w:rsidR="004D0E6C" w:rsidRDefault="004D0E6C"/>
    <w:sectPr w:rsidR="004D0E6C" w:rsidSect="003A713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2F3"/>
    <w:rsid w:val="001C02F3"/>
    <w:rsid w:val="00223B13"/>
    <w:rsid w:val="002B301D"/>
    <w:rsid w:val="003A713F"/>
    <w:rsid w:val="003B2C28"/>
    <w:rsid w:val="00401854"/>
    <w:rsid w:val="004C5D6F"/>
    <w:rsid w:val="004D0E6C"/>
    <w:rsid w:val="008F0253"/>
    <w:rsid w:val="009A243B"/>
    <w:rsid w:val="00AC11EC"/>
    <w:rsid w:val="00B854C6"/>
    <w:rsid w:val="00D44BC5"/>
    <w:rsid w:val="00E057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E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C02F3"/>
    <w:pPr>
      <w:jc w:val="both"/>
    </w:pPr>
    <w:rPr>
      <w:rFonts w:cs="Calibri"/>
    </w:rPr>
  </w:style>
  <w:style w:type="paragraph" w:styleId="Title">
    <w:name w:val="Title"/>
    <w:basedOn w:val="Normal"/>
    <w:link w:val="TitleChar"/>
    <w:uiPriority w:val="99"/>
    <w:qFormat/>
    <w:rsid w:val="001C02F3"/>
    <w:pPr>
      <w:spacing w:after="0" w:line="240" w:lineRule="auto"/>
      <w:jc w:val="center"/>
    </w:pPr>
    <w:rPr>
      <w:rFonts w:ascii="Courier New" w:hAnsi="Courier New" w:cs="Courier New"/>
      <w:b/>
      <w:bCs/>
      <w:color w:val="0000FF"/>
      <w:sz w:val="24"/>
      <w:szCs w:val="24"/>
    </w:rPr>
  </w:style>
  <w:style w:type="character" w:customStyle="1" w:styleId="TitleChar">
    <w:name w:val="Title Char"/>
    <w:basedOn w:val="DefaultParagraphFont"/>
    <w:link w:val="Title"/>
    <w:uiPriority w:val="99"/>
    <w:locked/>
    <w:rsid w:val="001C02F3"/>
    <w:rPr>
      <w:rFonts w:ascii="Courier New" w:hAnsi="Courier New" w:cs="Courier New"/>
      <w:b/>
      <w:bCs/>
      <w:color w:val="0000FF"/>
      <w:sz w:val="24"/>
      <w:szCs w:val="24"/>
    </w:rPr>
  </w:style>
  <w:style w:type="character" w:styleId="Hyperlink">
    <w:name w:val="Hyperlink"/>
    <w:basedOn w:val="DefaultParagraphFont"/>
    <w:uiPriority w:val="99"/>
    <w:rsid w:val="001C02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s1sai@rediff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482</Words>
  <Characters>2751</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BSNL</dc:creator>
  <cp:keywords/>
  <dc:description/>
  <cp:lastModifiedBy>sdecomputer</cp:lastModifiedBy>
  <cp:revision>2</cp:revision>
  <dcterms:created xsi:type="dcterms:W3CDTF">2012-10-17T10:24:00Z</dcterms:created>
  <dcterms:modified xsi:type="dcterms:W3CDTF">2012-10-17T10:24:00Z</dcterms:modified>
</cp:coreProperties>
</file>